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878CD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E2AB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0CB00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实验：电池电动势和内阻的测量</w:t>
      </w:r>
    </w:p>
    <w:bookmarkEnd w:id="0"/>
    <w:p w14:paraId="18E5D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1.测量电池电动势和内阻实验的原理是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闭合电路的欧姆定律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。即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E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+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Ir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Theme="minorEastAsia" w:hAnsiTheme="minorEastAsia" w:cstheme="minorEastAsia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实验电路图如图所示。</w:t>
      </w:r>
    </w:p>
    <w:p w14:paraId="7BC2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788160" cy="1042670"/>
            <wp:effectExtent l="0" t="0" r="2540" b="5080"/>
            <wp:docPr id="79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11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2.数据处理方法：（1）公式法；（2）作图法。</w:t>
      </w:r>
    </w:p>
    <w:p w14:paraId="0B4FFA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sz w:val="21"/>
        </w:rPr>
        <w:t>注意事项与误差分析</w:t>
      </w:r>
    </w:p>
    <w:p w14:paraId="35119E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为使电池的路端电压有明显变化，应选取内阻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的旧干电池和内阻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的电压表。</w:t>
      </w:r>
    </w:p>
    <w:p w14:paraId="2C68ED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实验中不能将电流调得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过大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，且读数要快，读完后立即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切断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电源，防止干电池大电流放电时内阻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的明显变化。</w:t>
      </w:r>
    </w:p>
    <w:p w14:paraId="61FFC47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3980180</wp:posOffset>
            </wp:positionH>
            <wp:positionV relativeFrom="paragraph">
              <wp:posOffset>154940</wp:posOffset>
            </wp:positionV>
            <wp:extent cx="1280795" cy="1051560"/>
            <wp:effectExtent l="0" t="0" r="14605" b="15240"/>
            <wp:wrapTight wrapText="bothSides">
              <wp:wrapPolygon>
                <wp:start x="0" y="0"/>
                <wp:lineTo x="0" y="21130"/>
                <wp:lineTo x="21204" y="21130"/>
                <wp:lineTo x="21204" y="0"/>
                <wp:lineTo x="0" y="0"/>
              </wp:wrapPolygon>
            </wp:wrapTight>
            <wp:docPr id="100003" name="图片 100003" descr="@@@670c40cf-61c6-4127-872f-8fa5dbd37f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70c40cf-61c6-4127-872f-8fa5dbd37f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当干电池的路端电压变化不很明显时，作图像时，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纵轴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单位可取得小一些，且纵轴起点可不从零开始。如图所示，此时图线与纵轴交点仍为电池的电动势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，但图线与横轴交点不再是短路电流，内阻要在直线上取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的两点用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|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ascii="Cambria Math" w:hAnsi="Cambria Math" w:cs="Times New Roman"/>
                <w:color w:val="FF0000"/>
                <w:sz w:val="21"/>
                <w:u w:val="single"/>
              </w:rPr>
              <m:t>∆</m:t>
            </m:r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ascii="Cambria Math" w:hAnsi="Cambria Math" w:cs="Times New Roman"/>
                <w:color w:val="FF0000"/>
                <w:sz w:val="21"/>
                <w:u w:val="single"/>
              </w:rPr>
              <m:t>∆</m:t>
            </m:r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hint="eastAsia" w:hAnsi="Cambria Math" w:cs="Times New Roman"/>
          <w:i w:val="0"/>
          <w:color w:val="FF0000"/>
          <w:sz w:val="21"/>
          <w:u w:val="single"/>
          <w:lang w:val="en-US" w:eastAsia="zh-CN"/>
        </w:rPr>
        <w:t>|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求出。</w:t>
      </w:r>
    </w:p>
    <w:p w14:paraId="35D289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）偶然误差：主要来源于电压表和电流表的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读数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以及作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图像时描点不准确。</w:t>
      </w:r>
    </w:p>
    <w:p w14:paraId="7B0B340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val="en-US" w:eastAsia="zh-CN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）系统误差：主要原因是电压表的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分流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作用，使得电流表上读出的数值比流过电源的电流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偏小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一些。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越大，电流表的读数与总电流的偏差就越大，将测量结果与真实情况在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坐标系中表示出来，如图所示，可见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iCs/>
          <w:color w:val="FF0000"/>
          <w:sz w:val="21"/>
          <w:u w:val="single"/>
        </w:rPr>
        <w:t>&lt;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iCs/>
          <w:color w:val="FF0000"/>
          <w:sz w:val="21"/>
          <w:u w:val="single"/>
        </w:rPr>
        <w:t>&lt;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rFonts w:ascii="宋体" w:hAnsi="宋体" w:eastAsia="宋体" w:cs="宋体"/>
          <w:i w:val="0"/>
          <w:iCs/>
          <w:sz w:val="21"/>
          <w:vertAlign w:val="baseline"/>
        </w:rPr>
        <w:t>。</w:t>
      </w:r>
    </w:p>
    <w:p w14:paraId="50BE9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19225" cy="1070610"/>
            <wp:effectExtent l="0" t="0" r="9525" b="15240"/>
            <wp:docPr id="100005" name="图片 100005" descr="@@@f0bc80e4-3a4a-4d97-9a10-8f84bcb041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f0bc80e4-3a4a-4d97-9a10-8f84bcb041c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A309F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A062572"/>
    <w:rsid w:val="407056B1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